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448" w:rsidRPr="007B1D21" w:rsidRDefault="007B1D21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7B1D21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6B4448" w:rsidRPr="007B1D21" w:rsidRDefault="007B1D21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lang w:val="ru-RU"/>
        </w:rPr>
      </w:pPr>
      <w:r w:rsidRPr="007B1D21">
        <w:rPr>
          <w:rFonts w:ascii="Times New Roman" w:hAnsi="Times New Roman" w:cs="Times New Roman"/>
          <w:b/>
          <w:bCs/>
          <w:lang w:val="ru-RU"/>
        </w:rPr>
        <w:t>Развитие системы управления взаимоотношениями с юридическими лицами (</w:t>
      </w:r>
      <w:r w:rsidRPr="007B1D21">
        <w:rPr>
          <w:rFonts w:ascii="Times New Roman" w:hAnsi="Times New Roman" w:cs="Times New Roman"/>
          <w:b/>
          <w:bCs/>
        </w:rPr>
        <w:t>CRM</w:t>
      </w:r>
      <w:r w:rsidRPr="007B1D21">
        <w:rPr>
          <w:rFonts w:ascii="Times New Roman" w:hAnsi="Times New Roman" w:cs="Times New Roman"/>
          <w:b/>
          <w:bCs/>
          <w:lang w:val="ru-RU"/>
        </w:rPr>
        <w:t>) в 2026-2029 годах</w:t>
      </w:r>
    </w:p>
    <w:p w:rsidR="006B4448" w:rsidRPr="007B1D21" w:rsidRDefault="007B1D21">
      <w:pPr>
        <w:spacing w:before="113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7B1D21">
        <w:rPr>
          <w:rFonts w:ascii="Times New Roman" w:hAnsi="Times New Roman" w:cs="Times New Roman"/>
          <w:b/>
          <w:bCs/>
        </w:rPr>
        <w:t>Код</w:t>
      </w:r>
      <w:proofErr w:type="spellEnd"/>
      <w:r w:rsidRPr="007B1D2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B1D21">
        <w:rPr>
          <w:rFonts w:ascii="Times New Roman" w:hAnsi="Times New Roman" w:cs="Times New Roman"/>
          <w:b/>
          <w:bCs/>
        </w:rPr>
        <w:t>проекта</w:t>
      </w:r>
      <w:proofErr w:type="spellEnd"/>
      <w:r w:rsidRPr="007B1D21">
        <w:rPr>
          <w:rFonts w:ascii="Times New Roman" w:hAnsi="Times New Roman" w:cs="Times New Roman"/>
          <w:b/>
          <w:bCs/>
        </w:rPr>
        <w:t xml:space="preserve"> - 15.01.10008</w:t>
      </w:r>
    </w:p>
    <w:p w:rsidR="006B4448" w:rsidRPr="007B1D21" w:rsidRDefault="007B1D21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7B1D21">
        <w:rPr>
          <w:rFonts w:ascii="Times New Roman" w:hAnsi="Times New Roman" w:cs="Times New Roman"/>
        </w:rPr>
        <w:t>ОПИСАНИЕ ИПКВ ИТ</w:t>
      </w:r>
    </w:p>
    <w:p w:rsidR="006B4448" w:rsidRPr="007B1D21" w:rsidRDefault="007B1D21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7B1D21">
        <w:rPr>
          <w:rFonts w:ascii="Times New Roman" w:hAnsi="Times New Roman" w:cs="Times New Roman"/>
        </w:rPr>
        <w:t>Объект</w:t>
      </w:r>
      <w:proofErr w:type="spellEnd"/>
      <w:r w:rsidRPr="007B1D21">
        <w:rPr>
          <w:rFonts w:ascii="Times New Roman" w:hAnsi="Times New Roman" w:cs="Times New Roman"/>
        </w:rPr>
        <w:t xml:space="preserve"> </w:t>
      </w:r>
      <w:proofErr w:type="spellStart"/>
      <w:r w:rsidRPr="007B1D21">
        <w:rPr>
          <w:rFonts w:ascii="Times New Roman" w:hAnsi="Times New Roman" w:cs="Times New Roman"/>
        </w:rPr>
        <w:t>вложения</w:t>
      </w:r>
      <w:proofErr w:type="spellEnd"/>
      <w:r w:rsidRPr="007B1D21">
        <w:rPr>
          <w:rFonts w:ascii="Times New Roman" w:hAnsi="Times New Roman" w:cs="Times New Roman"/>
        </w:rPr>
        <w:t xml:space="preserve"> </w:t>
      </w:r>
      <w:proofErr w:type="spellStart"/>
      <w:r w:rsidRPr="007B1D21">
        <w:rPr>
          <w:rFonts w:ascii="Times New Roman" w:hAnsi="Times New Roman" w:cs="Times New Roman"/>
        </w:rPr>
        <w:t>средств</w:t>
      </w:r>
      <w:proofErr w:type="spellEnd"/>
    </w:p>
    <w:p w:rsidR="006B4448" w:rsidRPr="007B1D21" w:rsidRDefault="007B1D21">
      <w:pPr>
        <w:rPr>
          <w:rFonts w:ascii="Times New Roman" w:hAnsi="Times New Roman" w:cs="Times New Roman"/>
        </w:rPr>
      </w:pPr>
      <w:r w:rsidRPr="007B1D21">
        <w:rPr>
          <w:rFonts w:ascii="Times New Roman" w:hAnsi="Times New Roman" w:cs="Times New Roman"/>
        </w:rPr>
        <w:t>АО "Петербургская сбытовая компания"</w:t>
      </w:r>
    </w:p>
    <w:p w:rsidR="006B4448" w:rsidRPr="007B1D21" w:rsidRDefault="007B1D21">
      <w:pPr>
        <w:spacing w:before="283" w:after="283"/>
        <w:rPr>
          <w:rFonts w:ascii="Times New Roman" w:hAnsi="Times New Roman" w:cs="Times New Roman"/>
          <w:b/>
          <w:bCs/>
        </w:rPr>
      </w:pPr>
      <w:proofErr w:type="spellStart"/>
      <w:r w:rsidRPr="007B1D21">
        <w:rPr>
          <w:rFonts w:ascii="Times New Roman" w:hAnsi="Times New Roman" w:cs="Times New Roman"/>
          <w:b/>
          <w:bCs/>
        </w:rPr>
        <w:t>Объект</w:t>
      </w:r>
      <w:proofErr w:type="spellEnd"/>
      <w:r w:rsidRPr="007B1D21">
        <w:rPr>
          <w:rFonts w:ascii="Times New Roman" w:hAnsi="Times New Roman" w:cs="Times New Roman"/>
          <w:b/>
          <w:bCs/>
        </w:rPr>
        <w:t xml:space="preserve"> ОС:</w:t>
      </w:r>
    </w:p>
    <w:p w:rsidR="006B4448" w:rsidRPr="007B1D21" w:rsidRDefault="007B1D21" w:rsidP="007B1D21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АО «Петербургская сбытовая компания. </w:t>
      </w:r>
      <w:r w:rsidRPr="007B1D21">
        <w:rPr>
          <w:rFonts w:ascii="Times New Roman" w:hAnsi="Times New Roman" w:cs="Times New Roman"/>
          <w:lang w:val="ru-RU"/>
        </w:rPr>
        <w:t>Существующий НМА – «Система «</w:t>
      </w:r>
      <w:r w:rsidRPr="007B1D21">
        <w:rPr>
          <w:rFonts w:ascii="Times New Roman" w:hAnsi="Times New Roman" w:cs="Times New Roman"/>
        </w:rPr>
        <w:t>CRM</w:t>
      </w:r>
      <w:r w:rsidRPr="007B1D21">
        <w:rPr>
          <w:rFonts w:ascii="Times New Roman" w:hAnsi="Times New Roman" w:cs="Times New Roman"/>
          <w:lang w:val="ru-RU"/>
        </w:rPr>
        <w:t xml:space="preserve"> юридических лиц». </w:t>
      </w:r>
    </w:p>
    <w:p w:rsidR="006B4448" w:rsidRPr="007B1D21" w:rsidRDefault="006B4448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B4448" w:rsidRPr="007B1D21" w:rsidRDefault="007B1D21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7B1D21">
        <w:rPr>
          <w:rFonts w:ascii="Times New Roman" w:hAnsi="Times New Roman" w:cs="Times New Roman"/>
        </w:rPr>
        <w:t>Предпосылки</w:t>
      </w:r>
      <w:proofErr w:type="spellEnd"/>
      <w:r w:rsidRPr="007B1D21">
        <w:rPr>
          <w:rFonts w:ascii="Times New Roman" w:hAnsi="Times New Roman" w:cs="Times New Roman"/>
        </w:rPr>
        <w:t xml:space="preserve"> / </w:t>
      </w:r>
      <w:proofErr w:type="spellStart"/>
      <w:r w:rsidRPr="007B1D21">
        <w:rPr>
          <w:rFonts w:ascii="Times New Roman" w:hAnsi="Times New Roman" w:cs="Times New Roman"/>
        </w:rPr>
        <w:t>необходимость</w:t>
      </w:r>
      <w:proofErr w:type="spellEnd"/>
      <w:r w:rsidRPr="007B1D21">
        <w:rPr>
          <w:rFonts w:ascii="Times New Roman" w:hAnsi="Times New Roman" w:cs="Times New Roman"/>
        </w:rPr>
        <w:t xml:space="preserve"> </w:t>
      </w:r>
      <w:proofErr w:type="spellStart"/>
      <w:r w:rsidRPr="007B1D21">
        <w:rPr>
          <w:rFonts w:ascii="Times New Roman" w:hAnsi="Times New Roman" w:cs="Times New Roman"/>
        </w:rPr>
        <w:t>реализации</w:t>
      </w:r>
      <w:proofErr w:type="spellEnd"/>
      <w:r w:rsidRPr="007B1D21">
        <w:rPr>
          <w:rFonts w:ascii="Times New Roman" w:hAnsi="Times New Roman" w:cs="Times New Roman"/>
        </w:rPr>
        <w:t xml:space="preserve"> ИПКВ ИТ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В 2019 году были проведены работы по проекту Группы «Интер РАО» для создания и внедрения системы «CRM юридических лиц» 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(далее – «Система»). В 2020-2022 гг. автоматизирована часть основных бизнес-процессов взаимодействия с клиентами Общества.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В рамках развития системы «CRM юридических лиц» в период 2026-2029 гг. будут выполнены задачи по развитию Системы, что позволит повыс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ить уровень удовлетворенности клиентов и сотрудников АО «Петербургская сбытовая компания» за счет снижения репутационных рисков Общества и устранения инцидентов по критичным для бизнеса процессам и операциям.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Результатом развития Системы является увеличени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е количества и качества on-line коммуникаций с клиентами и расширение аудитории для реализации дополнительных платных сервисов. Информационная Система посредством интеграции с </w:t>
      </w:r>
      <w:proofErr w:type="spellStart"/>
      <w:r w:rsidRPr="007B1D21">
        <w:rPr>
          <w:rFonts w:ascii="Times New Roman" w:eastAsia="Times New Roman" w:hAnsi="Times New Roman" w:cs="Times New Roman"/>
          <w:color w:val="333333"/>
          <w:lang w:val="ru-RU"/>
        </w:rPr>
        <w:t>биллинговыми</w:t>
      </w:r>
      <w:proofErr w:type="spellEnd"/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системами будет осуществлять автоматическую информационную рассылку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потребителям Общества о выставлении платежно-расчетных документов, уведомлений о задолженности, сроках оплаты и отключениях.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В случае отказа от реализации проекта Общество не сможет развиваться в направлении повышения качества и доступности дистанционного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обслуживания, что приведет к снижению конкурентного преимущества и объема капитализации нематериальных активов Общества.</w:t>
      </w:r>
    </w:p>
    <w:p w:rsidR="006B4448" w:rsidRPr="007B1D21" w:rsidRDefault="006B4448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</w:p>
    <w:p w:rsidR="006B4448" w:rsidRPr="007B1D21" w:rsidRDefault="007B1D21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7B1D21">
        <w:rPr>
          <w:rFonts w:ascii="Times New Roman" w:hAnsi="Times New Roman" w:cs="Times New Roman"/>
        </w:rPr>
        <w:t>Цель</w:t>
      </w:r>
      <w:proofErr w:type="spellEnd"/>
      <w:r w:rsidRPr="007B1D21">
        <w:rPr>
          <w:rFonts w:ascii="Times New Roman" w:hAnsi="Times New Roman" w:cs="Times New Roman"/>
        </w:rPr>
        <w:t xml:space="preserve"> ИПКВ ИТ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Объект и область применения автоматизации: Система управления взаимоотношениями с клиентами (CRM, сокращение от англ. Cu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stomer Relationship Management)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Целью развития Системы является расширение ее функциональных возможносте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й в части: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- обеспечения электронного документооборота в рамках работы с клиентами на базе CRM;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- настройки г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лубокого анализа данных о клиентской базе компании;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- упрощения информационного взаимодействия между Обществом и конечным клиентом;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- реализации поиска статистических закономерностей в данных для выработки наиболее эффективной стратегии маркетинга, продаж,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обслуживания клиентов и т.п. 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В результате выполнения работ будут реализованы новые функциональные возможности Системы, что повысит эффективность работы сотрудников, приведет к сокращению времени на обработку обращений клиентов, упростит информационное вз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аимодействие между Обществом и конечным клиентом и предоставит возможность проведения анализа данных о клиентской базе компании для выработки наиболее эффективной стратегии маркетинга, продаж, обслуживания клиентов и т.п.</w:t>
      </w:r>
    </w:p>
    <w:p w:rsidR="006B4448" w:rsidRPr="007B1D21" w:rsidRDefault="006B4448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B4448" w:rsidRPr="007B1D21" w:rsidRDefault="007B1D21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7B1D21">
        <w:rPr>
          <w:rFonts w:ascii="Times New Roman" w:hAnsi="Times New Roman" w:cs="Times New Roman"/>
        </w:rPr>
        <w:t>Технические</w:t>
      </w:r>
      <w:proofErr w:type="spellEnd"/>
      <w:r w:rsidRPr="007B1D21">
        <w:rPr>
          <w:rFonts w:ascii="Times New Roman" w:hAnsi="Times New Roman" w:cs="Times New Roman"/>
        </w:rPr>
        <w:t xml:space="preserve"> </w:t>
      </w:r>
      <w:proofErr w:type="spellStart"/>
      <w:r w:rsidRPr="007B1D21">
        <w:rPr>
          <w:rFonts w:ascii="Times New Roman" w:hAnsi="Times New Roman" w:cs="Times New Roman"/>
        </w:rPr>
        <w:t>решения</w:t>
      </w:r>
      <w:proofErr w:type="spellEnd"/>
      <w:r w:rsidRPr="007B1D21">
        <w:rPr>
          <w:rFonts w:ascii="Times New Roman" w:hAnsi="Times New Roman" w:cs="Times New Roman"/>
        </w:rPr>
        <w:t xml:space="preserve"> ИПКВ ИТ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Доработка программного обеспечения планируется с целью расширения функциональных возможностей Системы, с изменениями федерального и регионального законодательства, с бизнес-процессами дистанционного взаимодействия с клиентами Общества.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Работы будут произво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диться компанией ООО «СИГМА», являющейся поставщиком решения. ООО «СИГМА» с 2005 года оказывает услуги АО «Петербургская сбытовая компания» в части сопровождения и модернизации: </w:t>
      </w:r>
      <w:proofErr w:type="spellStart"/>
      <w:r w:rsidRPr="007B1D21">
        <w:rPr>
          <w:rFonts w:ascii="Times New Roman" w:eastAsia="Times New Roman" w:hAnsi="Times New Roman" w:cs="Times New Roman"/>
          <w:color w:val="333333"/>
          <w:lang w:val="ru-RU"/>
        </w:rPr>
        <w:t>биллинговых</w:t>
      </w:r>
      <w:proofErr w:type="spellEnd"/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систем, CRM юридических лиц, информационной системы электронного а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рхива документов. Указанная компания обеспечивает соблюдение единого подхода АО «Петербургская сбытовая компания» к технологическим решениям при разработке, модернизации, настройке и технической поддержке прикладного программного обеспечения.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>Требования по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конкретным доработкам будут формализованы в течение года реализации, на основании изменения законодательства, а также требований розничного бизнеса будет сформирован перечень доработок. Все изменения проходят централизованное согласование с Блоком розничн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ого бизнеса ПАО «Интер РАО» и направляются на реализацию в виде запросов на изменение.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Расчет стоимости проекта выполнен согласно рекомендациям </w:t>
      </w:r>
      <w:proofErr w:type="gramStart"/>
      <w:r w:rsidRPr="007B1D21">
        <w:rPr>
          <w:rFonts w:ascii="Times New Roman" w:eastAsia="Times New Roman" w:hAnsi="Times New Roman" w:cs="Times New Roman"/>
          <w:color w:val="333333"/>
          <w:lang w:val="ru-RU"/>
        </w:rPr>
        <w:t>ЦРБ  письмо</w:t>
      </w:r>
      <w:proofErr w:type="gramEnd"/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ИН/КП/ОД/125 от 21.08.2024 и КП от Сигма. 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</w:p>
    <w:p w:rsidR="006B4448" w:rsidRPr="007B1D21" w:rsidRDefault="006B4448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B4448" w:rsidRPr="007B1D21" w:rsidRDefault="006B4448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B4448" w:rsidRPr="007B1D21" w:rsidRDefault="007B1D21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7B1D21">
        <w:rPr>
          <w:rFonts w:ascii="Times New Roman" w:hAnsi="Times New Roman" w:cs="Times New Roman"/>
        </w:rPr>
        <w:t>Дополнительная</w:t>
      </w:r>
      <w:proofErr w:type="spellEnd"/>
      <w:r w:rsidRPr="007B1D21">
        <w:rPr>
          <w:rFonts w:ascii="Times New Roman" w:hAnsi="Times New Roman" w:cs="Times New Roman"/>
        </w:rPr>
        <w:t xml:space="preserve"> </w:t>
      </w:r>
      <w:proofErr w:type="spellStart"/>
      <w:r w:rsidRPr="007B1D21">
        <w:rPr>
          <w:rFonts w:ascii="Times New Roman" w:hAnsi="Times New Roman" w:cs="Times New Roman"/>
        </w:rPr>
        <w:t>информация</w:t>
      </w:r>
      <w:proofErr w:type="spellEnd"/>
    </w:p>
    <w:p w:rsidR="006B4448" w:rsidRPr="007B1D21" w:rsidRDefault="007B1D21">
      <w:pPr>
        <w:rPr>
          <w:rFonts w:ascii="Times New Roman" w:hAnsi="Times New Roman" w:cs="Times New Roman"/>
          <w:lang w:val="ru-RU"/>
        </w:rPr>
      </w:pPr>
      <w:r w:rsidRPr="007B1D21">
        <w:rPr>
          <w:rFonts w:ascii="Times New Roman" w:hAnsi="Times New Roman" w:cs="Times New Roman"/>
          <w:lang w:val="ru-RU"/>
        </w:rPr>
        <w:t>Данный ИПКВ не включен в ст</w:t>
      </w:r>
      <w:r w:rsidRPr="007B1D21">
        <w:rPr>
          <w:rFonts w:ascii="Times New Roman" w:hAnsi="Times New Roman" w:cs="Times New Roman"/>
          <w:lang w:val="ru-RU"/>
        </w:rPr>
        <w:t>ратегические документы компании.</w:t>
      </w:r>
    </w:p>
    <w:p w:rsidR="006B4448" w:rsidRPr="007B1D21" w:rsidRDefault="007B1D21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7B1D21">
        <w:rPr>
          <w:rFonts w:ascii="Times New Roman" w:hAnsi="Times New Roman" w:cs="Times New Roman"/>
        </w:rPr>
        <w:t>ОБЪЕМ, СРОКИ И ЗАТРАТЫ ИПКВ</w:t>
      </w:r>
    </w:p>
    <w:p w:rsidR="006B4448" w:rsidRPr="007B1D21" w:rsidRDefault="007B1D21">
      <w:pPr>
        <w:pStyle w:val="Normalparagraph"/>
        <w:rPr>
          <w:rFonts w:ascii="Times New Roman" w:hAnsi="Times New Roman" w:cs="Times New Roman"/>
          <w:lang w:val="ru-RU"/>
        </w:rPr>
      </w:pPr>
      <w:r w:rsidRPr="007B1D21">
        <w:rPr>
          <w:rFonts w:ascii="Times New Roman" w:hAnsi="Times New Roman" w:cs="Times New Roman"/>
          <w:lang w:val="ru-RU"/>
        </w:rPr>
        <w:t>Начало выполнения работ - 2 квартал 2026 г.</w:t>
      </w:r>
    </w:p>
    <w:p w:rsidR="006B4448" w:rsidRPr="007B1D21" w:rsidRDefault="007B1D21">
      <w:pPr>
        <w:pStyle w:val="Normalparagraph"/>
        <w:spacing w:before="57"/>
        <w:rPr>
          <w:rFonts w:ascii="Times New Roman" w:hAnsi="Times New Roman" w:cs="Times New Roman"/>
          <w:lang w:val="ru-RU"/>
        </w:rPr>
      </w:pPr>
      <w:r w:rsidRPr="007B1D21">
        <w:rPr>
          <w:rFonts w:ascii="Times New Roman" w:hAnsi="Times New Roman" w:cs="Times New Roman"/>
          <w:lang w:val="ru-RU"/>
        </w:rPr>
        <w:t>Завершение работ - 4 квартал 2029 г.</w:t>
      </w:r>
    </w:p>
    <w:p w:rsidR="006B4448" w:rsidRPr="007B1D21" w:rsidRDefault="007B1D21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7B1D21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6B4448" w:rsidRPr="007B1D21" w:rsidRDefault="007B1D21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7B1D21">
        <w:rPr>
          <w:rFonts w:ascii="Times New Roman" w:hAnsi="Times New Roman" w:cs="Times New Roman"/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2889"/>
        <w:gridCol w:w="594"/>
        <w:gridCol w:w="630"/>
        <w:gridCol w:w="1247"/>
        <w:gridCol w:w="720"/>
        <w:gridCol w:w="720"/>
        <w:gridCol w:w="720"/>
        <w:gridCol w:w="720"/>
        <w:gridCol w:w="1191"/>
      </w:tblGrid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750" w:type="pct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1D21">
              <w:rPr>
                <w:rFonts w:ascii="Times New Roman" w:hAnsi="Times New Roman" w:cs="Times New Roman"/>
              </w:rPr>
              <w:t>шт</w:t>
            </w:r>
            <w:proofErr w:type="spellEnd"/>
            <w:r w:rsidRPr="007B1D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Цена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за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ед</w:t>
            </w:r>
            <w:proofErr w:type="spellEnd"/>
            <w:r w:rsidRPr="007B1D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91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без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10"/>
            <w:vMerge w:val="restart"/>
            <w:tcMar>
              <w:top w:w="57" w:type="dxa"/>
              <w:bottom w:w="57" w:type="dxa"/>
            </w:tcMar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7B1D21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38 136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37 042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38 445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39 905</w:t>
            </w:r>
          </w:p>
        </w:tc>
        <w:tc>
          <w:tcPr>
            <w:tcW w:w="1191" w:type="dxa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153 528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B4448" w:rsidRPr="007B1D21" w:rsidRDefault="007B1D21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38 136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37 042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38 445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39 905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153 528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10"/>
            <w:vMerge w:val="restart"/>
            <w:tcMar>
              <w:top w:w="57" w:type="dxa"/>
              <w:bottom w:w="57" w:type="dxa"/>
            </w:tcMar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7B1D21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B4448" w:rsidRPr="007B1D21" w:rsidRDefault="007B1D21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6B4448" w:rsidRPr="007B1D21" w:rsidRDefault="007B1D21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38 136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37 042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38 445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39 905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153 528</w:t>
            </w:r>
          </w:p>
        </w:tc>
      </w:tr>
    </w:tbl>
    <w:p w:rsidR="006B4448" w:rsidRPr="007B1D21" w:rsidRDefault="006B4448">
      <w:pPr>
        <w:rPr>
          <w:rFonts w:ascii="Times New Roman" w:hAnsi="Times New Roman" w:cs="Times New Roman"/>
        </w:rPr>
      </w:pPr>
    </w:p>
    <w:p w:rsidR="006B4448" w:rsidRPr="007B1D21" w:rsidRDefault="007B1D21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7B1D21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7B1D21">
        <w:rPr>
          <w:rFonts w:ascii="Times New Roman" w:hAnsi="Times New Roman" w:cs="Times New Roman"/>
          <w:b/>
          <w:bCs/>
          <w:sz w:val="22"/>
        </w:rPr>
        <w:t xml:space="preserve"> 2.</w:t>
      </w:r>
    </w:p>
    <w:p w:rsidR="006B4448" w:rsidRPr="007B1D21" w:rsidRDefault="007B1D21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7B1D21">
        <w:rPr>
          <w:rFonts w:ascii="Times New Roman" w:hAnsi="Times New Roman" w:cs="Times New Roman"/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2889"/>
        <w:gridCol w:w="594"/>
        <w:gridCol w:w="630"/>
        <w:gridCol w:w="1247"/>
        <w:gridCol w:w="720"/>
        <w:gridCol w:w="720"/>
        <w:gridCol w:w="720"/>
        <w:gridCol w:w="720"/>
        <w:gridCol w:w="1191"/>
      </w:tblGrid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1D21">
              <w:rPr>
                <w:rFonts w:ascii="Times New Roman" w:hAnsi="Times New Roman" w:cs="Times New Roman"/>
              </w:rPr>
              <w:t>шт</w:t>
            </w:r>
            <w:proofErr w:type="spellEnd"/>
            <w:r w:rsidRPr="007B1D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Цена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за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ед</w:t>
            </w:r>
            <w:proofErr w:type="spellEnd"/>
            <w:r w:rsidRPr="007B1D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0" w:type="auto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91" w:type="dxa"/>
            <w:shd w:val="clear" w:color="8C8C8C" w:fill="8C8C8C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с НДС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10"/>
            <w:vMerge w:val="restart"/>
            <w:tcMar>
              <w:top w:w="57" w:type="dxa"/>
              <w:bottom w:w="57" w:type="dxa"/>
            </w:tcMar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7B1D21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45 763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44 450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46 134</w:t>
            </w:r>
          </w:p>
        </w:tc>
        <w:tc>
          <w:tcPr>
            <w:tcW w:w="0" w:type="auto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47 886</w:t>
            </w:r>
          </w:p>
        </w:tc>
        <w:tc>
          <w:tcPr>
            <w:tcW w:w="1191" w:type="dxa"/>
            <w:vMerge w:val="restart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184 233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B4448" w:rsidRPr="007B1D21" w:rsidRDefault="007B1D21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45 763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44 450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46 134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47 886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184 233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10"/>
            <w:vMerge w:val="restart"/>
            <w:tcMar>
              <w:top w:w="57" w:type="dxa"/>
              <w:bottom w:w="57" w:type="dxa"/>
            </w:tcMar>
          </w:tcPr>
          <w:p w:rsidR="006B4448" w:rsidRPr="007B1D21" w:rsidRDefault="007B1D21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7B1D21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6B4448" w:rsidRPr="007B1D21" w:rsidRDefault="007B1D21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B4448" w:rsidRPr="007B1D21" w:rsidRDefault="006B4448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6B4448" w:rsidRPr="007B1D21" w:rsidRDefault="007B1D21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45 763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44 450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46 134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47 886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6B4448" w:rsidRPr="007B1D21" w:rsidRDefault="007B1D21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7B1D21">
              <w:rPr>
                <w:rFonts w:ascii="Times New Roman" w:hAnsi="Times New Roman" w:cs="Times New Roman"/>
                <w:bCs/>
              </w:rPr>
              <w:t>184 233</w:t>
            </w:r>
          </w:p>
        </w:tc>
      </w:tr>
    </w:tbl>
    <w:p w:rsidR="006B4448" w:rsidRPr="007B1D21" w:rsidRDefault="006B4448">
      <w:pPr>
        <w:rPr>
          <w:rFonts w:ascii="Times New Roman" w:hAnsi="Times New Roman" w:cs="Times New Roman"/>
        </w:rPr>
      </w:pPr>
    </w:p>
    <w:p w:rsidR="006B4448" w:rsidRPr="007B1D21" w:rsidRDefault="007B1D21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7B1D21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7B1D21">
        <w:rPr>
          <w:rFonts w:ascii="Times New Roman" w:hAnsi="Times New Roman" w:cs="Times New Roman"/>
          <w:b/>
          <w:bCs/>
          <w:sz w:val="22"/>
        </w:rPr>
        <w:t xml:space="preserve"> 3.</w:t>
      </w:r>
    </w:p>
    <w:p w:rsidR="006B4448" w:rsidRPr="007B1D21" w:rsidRDefault="007B1D21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</w:rPr>
      </w:pPr>
      <w:proofErr w:type="spellStart"/>
      <w:r w:rsidRPr="007B1D21">
        <w:rPr>
          <w:rFonts w:ascii="Times New Roman" w:hAnsi="Times New Roman" w:cs="Times New Roman"/>
          <w:sz w:val="22"/>
        </w:rPr>
        <w:t>Ключевые</w:t>
      </w:r>
      <w:proofErr w:type="spellEnd"/>
      <w:r w:rsidRPr="007B1D21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B1D21">
        <w:rPr>
          <w:rFonts w:ascii="Times New Roman" w:hAnsi="Times New Roman" w:cs="Times New Roman"/>
          <w:sz w:val="22"/>
        </w:rPr>
        <w:t>контрольные</w:t>
      </w:r>
      <w:proofErr w:type="spellEnd"/>
      <w:r w:rsidRPr="007B1D21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B1D21">
        <w:rPr>
          <w:rFonts w:ascii="Times New Roman" w:hAnsi="Times New Roman" w:cs="Times New Roman"/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2654"/>
        <w:gridCol w:w="2512"/>
      </w:tblGrid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r w:rsidRPr="007B1D21">
              <w:rPr>
                <w:rFonts w:ascii="Times New Roman" w:hAnsi="Times New Roman" w:cs="Times New Roman"/>
              </w:rPr>
              <w:t>КЛЮЧЕВЫЕ КОНТРОЛЬНЫЕ ТОЧКИ</w:t>
            </w:r>
          </w:p>
        </w:tc>
      </w:tr>
      <w:tr w:rsidR="006B4448" w:rsidRPr="007B1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Название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контрольной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6B4448" w:rsidRPr="007B1D21" w:rsidRDefault="007B1D21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7B1D21">
              <w:rPr>
                <w:rFonts w:ascii="Times New Roman" w:hAnsi="Times New Roman" w:cs="Times New Roman"/>
              </w:rPr>
              <w:t>Плановая</w:t>
            </w:r>
            <w:proofErr w:type="spellEnd"/>
            <w:r w:rsidRPr="007B1D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D21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</w:tr>
    </w:tbl>
    <w:p w:rsidR="006B4448" w:rsidRPr="007B1D21" w:rsidRDefault="006B4448">
      <w:pPr>
        <w:rPr>
          <w:rFonts w:ascii="Times New Roman" w:hAnsi="Times New Roman" w:cs="Times New Roman"/>
        </w:rPr>
      </w:pPr>
    </w:p>
    <w:p w:rsidR="006B4448" w:rsidRPr="007B1D21" w:rsidRDefault="007B1D21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7B1D21">
        <w:rPr>
          <w:rFonts w:ascii="Times New Roman" w:hAnsi="Times New Roman" w:cs="Times New Roman"/>
        </w:rPr>
        <w:t>КОНТАКТНОЕ ЛИЦО</w:t>
      </w:r>
      <w:bookmarkStart w:id="0" w:name="_GoBack"/>
      <w:bookmarkEnd w:id="0"/>
    </w:p>
    <w:p w:rsidR="006B4448" w:rsidRPr="007B1D21" w:rsidRDefault="007B1D21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7B1D21">
        <w:rPr>
          <w:rFonts w:ascii="Times New Roman" w:hAnsi="Times New Roman" w:cs="Times New Roman"/>
        </w:rPr>
        <w:t xml:space="preserve"> - </w:t>
      </w:r>
      <w:proofErr w:type="spellStart"/>
      <w:r w:rsidRPr="007B1D21">
        <w:rPr>
          <w:rFonts w:ascii="Times New Roman" w:hAnsi="Times New Roman" w:cs="Times New Roman"/>
        </w:rPr>
        <w:t>Куратор</w:t>
      </w:r>
      <w:proofErr w:type="spellEnd"/>
      <w:r w:rsidRPr="007B1D21">
        <w:rPr>
          <w:rFonts w:ascii="Times New Roman" w:hAnsi="Times New Roman" w:cs="Times New Roman"/>
        </w:rPr>
        <w:t xml:space="preserve"> ИПКВ:   </w:t>
      </w:r>
    </w:p>
    <w:p w:rsidR="006B4448" w:rsidRPr="007B1D21" w:rsidRDefault="007B1D21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7B1D21">
        <w:rPr>
          <w:rFonts w:ascii="Times New Roman" w:hAnsi="Times New Roman" w:cs="Times New Roman"/>
        </w:rPr>
        <w:t xml:space="preserve"> - </w:t>
      </w:r>
      <w:proofErr w:type="spellStart"/>
      <w:r w:rsidRPr="007B1D21">
        <w:rPr>
          <w:rFonts w:ascii="Times New Roman" w:hAnsi="Times New Roman" w:cs="Times New Roman"/>
        </w:rPr>
        <w:t>Единое</w:t>
      </w:r>
      <w:proofErr w:type="spellEnd"/>
      <w:r w:rsidRPr="007B1D21">
        <w:rPr>
          <w:rFonts w:ascii="Times New Roman" w:hAnsi="Times New Roman" w:cs="Times New Roman"/>
        </w:rPr>
        <w:t xml:space="preserve"> </w:t>
      </w:r>
      <w:proofErr w:type="spellStart"/>
      <w:r w:rsidRPr="007B1D21">
        <w:rPr>
          <w:rFonts w:ascii="Times New Roman" w:hAnsi="Times New Roman" w:cs="Times New Roman"/>
        </w:rPr>
        <w:t>ответственное</w:t>
      </w:r>
      <w:proofErr w:type="spellEnd"/>
      <w:r w:rsidRPr="007B1D21">
        <w:rPr>
          <w:rFonts w:ascii="Times New Roman" w:hAnsi="Times New Roman" w:cs="Times New Roman"/>
        </w:rPr>
        <w:t xml:space="preserve"> </w:t>
      </w:r>
      <w:proofErr w:type="spellStart"/>
      <w:r w:rsidRPr="007B1D21">
        <w:rPr>
          <w:rFonts w:ascii="Times New Roman" w:hAnsi="Times New Roman" w:cs="Times New Roman"/>
        </w:rPr>
        <w:t>лицо</w:t>
      </w:r>
      <w:proofErr w:type="spellEnd"/>
      <w:r w:rsidRPr="007B1D21">
        <w:rPr>
          <w:rFonts w:ascii="Times New Roman" w:hAnsi="Times New Roman" w:cs="Times New Roman"/>
        </w:rPr>
        <w:t xml:space="preserve"> ИПКВ:   </w:t>
      </w:r>
    </w:p>
    <w:p w:rsidR="006B4448" w:rsidRPr="007B1D21" w:rsidRDefault="007B1D21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7B1D21">
        <w:rPr>
          <w:rFonts w:ascii="Times New Roman" w:hAnsi="Times New Roman" w:cs="Times New Roman"/>
        </w:rPr>
        <w:t xml:space="preserve"> - </w:t>
      </w:r>
      <w:proofErr w:type="spellStart"/>
      <w:r w:rsidRPr="007B1D21">
        <w:rPr>
          <w:rFonts w:ascii="Times New Roman" w:hAnsi="Times New Roman" w:cs="Times New Roman"/>
        </w:rPr>
        <w:t>Заказчик</w:t>
      </w:r>
      <w:proofErr w:type="spellEnd"/>
      <w:r w:rsidRPr="007B1D21">
        <w:rPr>
          <w:rFonts w:ascii="Times New Roman" w:hAnsi="Times New Roman" w:cs="Times New Roman"/>
        </w:rPr>
        <w:t xml:space="preserve"> ИПКВ:   </w:t>
      </w:r>
    </w:p>
    <w:p w:rsidR="006B4448" w:rsidRPr="007B1D21" w:rsidRDefault="007B1D21" w:rsidP="007B1D21">
      <w:pPr>
        <w:ind w:firstLine="567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7B1D21">
        <w:rPr>
          <w:rFonts w:ascii="Times New Roman" w:hAnsi="Times New Roman" w:cs="Times New Roman"/>
          <w:lang w:val="ru-RU"/>
        </w:rPr>
        <w:t xml:space="preserve"> </w:t>
      </w:r>
      <w:r w:rsidRPr="007B1D21">
        <w:rPr>
          <w:rFonts w:ascii="Times New Roman" w:eastAsia="Times New Roman" w:hAnsi="Times New Roman" w:cs="Times New Roman"/>
          <w:color w:val="333333"/>
          <w:lang w:val="ru-RU"/>
        </w:rPr>
        <w:t>- Инициатор ИПКВ: Ведущий экономист Петербургская сбытовая компания Колосова Олеся Сергеевна</w:t>
      </w:r>
    </w:p>
    <w:sectPr w:rsidR="006B4448" w:rsidRPr="007B1D21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448" w:rsidRDefault="007B1D21">
      <w:r>
        <w:separator/>
      </w:r>
    </w:p>
  </w:endnote>
  <w:endnote w:type="continuationSeparator" w:id="0">
    <w:p w:rsidR="006B4448" w:rsidRDefault="007B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48" w:rsidRDefault="007B1D21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448" w:rsidRDefault="007B1D21">
      <w:r>
        <w:separator/>
      </w:r>
    </w:p>
  </w:footnote>
  <w:footnote w:type="continuationSeparator" w:id="0">
    <w:p w:rsidR="006B4448" w:rsidRDefault="007B1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25915"/>
    <w:multiLevelType w:val="multilevel"/>
    <w:tmpl w:val="B1C20E5C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448"/>
    <w:rsid w:val="006B4448"/>
    <w:rsid w:val="007B1D21"/>
    <w:rsid w:val="00C5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B7BDD-086B-4884-82D8-598D7FAE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881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Андрей Николаевич</dc:creator>
  <cp:lastModifiedBy>Воронин Андрей Николаевич</cp:lastModifiedBy>
  <cp:revision>3</cp:revision>
  <dcterms:created xsi:type="dcterms:W3CDTF">2024-12-28T07:16:00Z</dcterms:created>
  <dcterms:modified xsi:type="dcterms:W3CDTF">2024-12-28T07:17:00Z</dcterms:modified>
</cp:coreProperties>
</file>